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35FD5" w14:textId="0C5D2396" w:rsidR="007C4CF2" w:rsidRPr="007C4CF2" w:rsidRDefault="007C4CF2" w:rsidP="007C4CF2">
      <w:pPr>
        <w:rPr>
          <w:b/>
          <w:bCs/>
        </w:rPr>
      </w:pPr>
      <w:r w:rsidRPr="007C4CF2">
        <w:rPr>
          <w:b/>
          <w:bCs/>
        </w:rPr>
        <w:t>Basler GigE Interface Card, 1 Port#</w:t>
      </w:r>
    </w:p>
    <w:p w14:paraId="2A302D3F" w14:textId="7882E607" w:rsidR="007C4CF2" w:rsidRPr="007C4CF2" w:rsidRDefault="007C4CF2" w:rsidP="007C4CF2">
      <w:r w:rsidRPr="007C4CF2">
        <w:drawing>
          <wp:inline distT="0" distB="0" distL="0" distR="0" wp14:anchorId="0DE51723" wp14:editId="39727F1A">
            <wp:extent cx="3418205" cy="1143000"/>
            <wp:effectExtent l="0" t="0" r="0" b="0"/>
            <wp:docPr id="886540655" name="Picture 3" descr="Basler GigE Interface Card, 1 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ler GigE Interface Card, 1 Por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8205" cy="1143000"/>
                    </a:xfrm>
                    <a:prstGeom prst="rect">
                      <a:avLst/>
                    </a:prstGeom>
                    <a:noFill/>
                    <a:ln>
                      <a:noFill/>
                    </a:ln>
                  </pic:spPr>
                </pic:pic>
              </a:graphicData>
            </a:graphic>
          </wp:inline>
        </w:drawing>
      </w:r>
    </w:p>
    <w:p w14:paraId="15448C93" w14:textId="2DFC15C1" w:rsidR="007C4CF2" w:rsidRPr="007C4CF2" w:rsidRDefault="007C4CF2" w:rsidP="007C4CF2">
      <w:pPr>
        <w:rPr>
          <w:b/>
          <w:bCs/>
        </w:rPr>
      </w:pPr>
      <w:r w:rsidRPr="007C4CF2">
        <w:rPr>
          <w:b/>
          <w:bCs/>
        </w:rPr>
        <w:t>Key Features#</w:t>
      </w:r>
    </w:p>
    <w:p w14:paraId="01D1B035" w14:textId="77777777" w:rsidR="007C4CF2" w:rsidRPr="007C4CF2" w:rsidRDefault="007C4CF2" w:rsidP="007C4CF2">
      <w:pPr>
        <w:numPr>
          <w:ilvl w:val="0"/>
          <w:numId w:val="1"/>
        </w:numPr>
      </w:pPr>
      <w:r w:rsidRPr="007C4CF2">
        <w:t>GigE Vision certified</w:t>
      </w:r>
    </w:p>
    <w:p w14:paraId="64619BB2" w14:textId="77777777" w:rsidR="007C4CF2" w:rsidRPr="007C4CF2" w:rsidRDefault="007C4CF2" w:rsidP="007C4CF2">
      <w:pPr>
        <w:numPr>
          <w:ilvl w:val="0"/>
          <w:numId w:val="1"/>
        </w:numPr>
      </w:pPr>
      <w:proofErr w:type="spellStart"/>
      <w:r w:rsidRPr="007C4CF2">
        <w:t>Autonegotiation</w:t>
      </w:r>
      <w:proofErr w:type="spellEnd"/>
    </w:p>
    <w:p w14:paraId="0F9EEF95" w14:textId="77777777" w:rsidR="007C4CF2" w:rsidRPr="007C4CF2" w:rsidRDefault="007C4CF2" w:rsidP="007C4CF2">
      <w:pPr>
        <w:numPr>
          <w:ilvl w:val="0"/>
          <w:numId w:val="1"/>
        </w:numPr>
      </w:pPr>
      <w:r w:rsidRPr="007C4CF2">
        <w:t>Hardware timestamping</w:t>
      </w:r>
    </w:p>
    <w:p w14:paraId="5F59F188" w14:textId="77777777" w:rsidR="007C4CF2" w:rsidRPr="007C4CF2" w:rsidRDefault="007C4CF2" w:rsidP="007C4CF2">
      <w:pPr>
        <w:numPr>
          <w:ilvl w:val="0"/>
          <w:numId w:val="1"/>
        </w:numPr>
      </w:pPr>
      <w:r w:rsidRPr="007C4CF2">
        <w:t>Automatically detected by pylon through shared MAC address range</w:t>
      </w:r>
    </w:p>
    <w:p w14:paraId="1893D669" w14:textId="7D0E6F1D" w:rsidR="007C4CF2" w:rsidRPr="007C4CF2" w:rsidRDefault="007C4CF2" w:rsidP="007C4CF2">
      <w:pPr>
        <w:rPr>
          <w:b/>
          <w:bCs/>
        </w:rPr>
      </w:pPr>
      <w:r w:rsidRPr="007C4CF2">
        <w:rPr>
          <w:b/>
          <w:bCs/>
        </w:rPr>
        <w:t>General Specifications#</w:t>
      </w:r>
    </w:p>
    <w:tbl>
      <w:tblPr>
        <w:tblW w:w="10320" w:type="dxa"/>
        <w:tblCellSpacing w:w="15" w:type="dxa"/>
        <w:tblCellMar>
          <w:top w:w="15" w:type="dxa"/>
          <w:left w:w="15" w:type="dxa"/>
          <w:bottom w:w="15" w:type="dxa"/>
          <w:right w:w="15" w:type="dxa"/>
        </w:tblCellMar>
        <w:tblLook w:val="04A0" w:firstRow="1" w:lastRow="0" w:firstColumn="1" w:lastColumn="0" w:noHBand="0" w:noVBand="1"/>
      </w:tblPr>
      <w:tblGrid>
        <w:gridCol w:w="3334"/>
        <w:gridCol w:w="6986"/>
      </w:tblGrid>
      <w:tr w:rsidR="007C4CF2" w:rsidRPr="007C4CF2" w14:paraId="34C5934E" w14:textId="77777777" w:rsidTr="007C4CF2">
        <w:trPr>
          <w:tblHeader/>
          <w:tblCellSpacing w:w="15" w:type="dxa"/>
        </w:trPr>
        <w:tc>
          <w:tcPr>
            <w:tcW w:w="0" w:type="auto"/>
            <w:tcMar>
              <w:top w:w="225" w:type="dxa"/>
              <w:left w:w="300" w:type="dxa"/>
              <w:bottom w:w="225" w:type="dxa"/>
              <w:right w:w="300" w:type="dxa"/>
            </w:tcMar>
            <w:hideMark/>
          </w:tcPr>
          <w:p w14:paraId="7A95321D" w14:textId="77777777" w:rsidR="007C4CF2" w:rsidRPr="007C4CF2" w:rsidRDefault="007C4CF2" w:rsidP="007C4CF2"/>
        </w:tc>
        <w:tc>
          <w:tcPr>
            <w:tcW w:w="0" w:type="auto"/>
            <w:tcMar>
              <w:top w:w="225" w:type="dxa"/>
              <w:left w:w="300" w:type="dxa"/>
              <w:bottom w:w="225" w:type="dxa"/>
              <w:right w:w="300" w:type="dxa"/>
            </w:tcMar>
            <w:hideMark/>
          </w:tcPr>
          <w:p w14:paraId="48B076AC" w14:textId="77777777" w:rsidR="007C4CF2" w:rsidRPr="007C4CF2" w:rsidRDefault="007C4CF2" w:rsidP="007C4CF2">
            <w:r w:rsidRPr="007C4CF2">
              <w:t>GigE Interface Card, 1 Port</w:t>
            </w:r>
          </w:p>
        </w:tc>
      </w:tr>
      <w:tr w:rsidR="007C4CF2" w:rsidRPr="007C4CF2" w14:paraId="469A43FF" w14:textId="77777777" w:rsidTr="007C4CF2">
        <w:trPr>
          <w:tblCellSpacing w:w="15" w:type="dxa"/>
        </w:trPr>
        <w:tc>
          <w:tcPr>
            <w:tcW w:w="0" w:type="auto"/>
            <w:tcMar>
              <w:top w:w="225" w:type="dxa"/>
              <w:left w:w="300" w:type="dxa"/>
              <w:bottom w:w="225" w:type="dxa"/>
              <w:right w:w="300" w:type="dxa"/>
            </w:tcMar>
            <w:hideMark/>
          </w:tcPr>
          <w:p w14:paraId="1AB0E39E" w14:textId="77777777" w:rsidR="007C4CF2" w:rsidRPr="007C4CF2" w:rsidRDefault="007C4CF2" w:rsidP="007C4CF2">
            <w:r w:rsidRPr="007C4CF2">
              <w:t>Order Number</w:t>
            </w:r>
          </w:p>
        </w:tc>
        <w:tc>
          <w:tcPr>
            <w:tcW w:w="0" w:type="auto"/>
            <w:tcMar>
              <w:top w:w="225" w:type="dxa"/>
              <w:left w:w="300" w:type="dxa"/>
              <w:bottom w:w="225" w:type="dxa"/>
              <w:right w:w="300" w:type="dxa"/>
            </w:tcMar>
            <w:hideMark/>
          </w:tcPr>
          <w:p w14:paraId="0F18D46E" w14:textId="77777777" w:rsidR="007C4CF2" w:rsidRPr="007C4CF2" w:rsidRDefault="007C4CF2" w:rsidP="007C4CF2">
            <w:r w:rsidRPr="007C4CF2">
              <w:t>2200000714</w:t>
            </w:r>
          </w:p>
        </w:tc>
      </w:tr>
      <w:tr w:rsidR="007C4CF2" w:rsidRPr="007C4CF2" w14:paraId="2D90F99A" w14:textId="77777777" w:rsidTr="007C4CF2">
        <w:trPr>
          <w:tblCellSpacing w:w="15" w:type="dxa"/>
        </w:trPr>
        <w:tc>
          <w:tcPr>
            <w:tcW w:w="0" w:type="auto"/>
            <w:tcMar>
              <w:top w:w="225" w:type="dxa"/>
              <w:left w:w="300" w:type="dxa"/>
              <w:bottom w:w="225" w:type="dxa"/>
              <w:right w:w="300" w:type="dxa"/>
            </w:tcMar>
            <w:hideMark/>
          </w:tcPr>
          <w:p w14:paraId="272F64C8" w14:textId="77777777" w:rsidR="007C4CF2" w:rsidRPr="007C4CF2" w:rsidRDefault="007C4CF2" w:rsidP="007C4CF2">
            <w:r w:rsidRPr="007C4CF2">
              <w:t>Number of Ports</w:t>
            </w:r>
          </w:p>
        </w:tc>
        <w:tc>
          <w:tcPr>
            <w:tcW w:w="0" w:type="auto"/>
            <w:tcMar>
              <w:top w:w="225" w:type="dxa"/>
              <w:left w:w="300" w:type="dxa"/>
              <w:bottom w:w="225" w:type="dxa"/>
              <w:right w:w="300" w:type="dxa"/>
            </w:tcMar>
            <w:hideMark/>
          </w:tcPr>
          <w:p w14:paraId="603A09A5" w14:textId="77777777" w:rsidR="007C4CF2" w:rsidRPr="007C4CF2" w:rsidRDefault="007C4CF2" w:rsidP="007C4CF2">
            <w:r w:rsidRPr="007C4CF2">
              <w:t>1</w:t>
            </w:r>
          </w:p>
        </w:tc>
      </w:tr>
      <w:tr w:rsidR="007C4CF2" w:rsidRPr="007C4CF2" w14:paraId="14C6F052" w14:textId="77777777" w:rsidTr="007C4CF2">
        <w:trPr>
          <w:tblCellSpacing w:w="15" w:type="dxa"/>
        </w:trPr>
        <w:tc>
          <w:tcPr>
            <w:tcW w:w="0" w:type="auto"/>
            <w:tcMar>
              <w:top w:w="225" w:type="dxa"/>
              <w:left w:w="300" w:type="dxa"/>
              <w:bottom w:w="225" w:type="dxa"/>
              <w:right w:w="300" w:type="dxa"/>
            </w:tcMar>
            <w:hideMark/>
          </w:tcPr>
          <w:p w14:paraId="2DC449AF" w14:textId="77777777" w:rsidR="007C4CF2" w:rsidRPr="007C4CF2" w:rsidRDefault="007C4CF2" w:rsidP="007C4CF2">
            <w:r w:rsidRPr="007C4CF2">
              <w:t>Port</w:t>
            </w:r>
          </w:p>
        </w:tc>
        <w:tc>
          <w:tcPr>
            <w:tcW w:w="0" w:type="auto"/>
            <w:tcMar>
              <w:top w:w="225" w:type="dxa"/>
              <w:left w:w="300" w:type="dxa"/>
              <w:bottom w:w="225" w:type="dxa"/>
              <w:right w:w="300" w:type="dxa"/>
            </w:tcMar>
            <w:hideMark/>
          </w:tcPr>
          <w:p w14:paraId="5E4B9604" w14:textId="77777777" w:rsidR="007C4CF2" w:rsidRPr="007C4CF2" w:rsidRDefault="007C4CF2" w:rsidP="007C4CF2">
            <w:r w:rsidRPr="007C4CF2">
              <w:t>RJ45</w:t>
            </w:r>
          </w:p>
        </w:tc>
      </w:tr>
      <w:tr w:rsidR="007C4CF2" w:rsidRPr="007C4CF2" w14:paraId="6483776D" w14:textId="77777777" w:rsidTr="007C4CF2">
        <w:trPr>
          <w:tblCellSpacing w:w="15" w:type="dxa"/>
        </w:trPr>
        <w:tc>
          <w:tcPr>
            <w:tcW w:w="0" w:type="auto"/>
            <w:tcMar>
              <w:top w:w="225" w:type="dxa"/>
              <w:left w:w="300" w:type="dxa"/>
              <w:bottom w:w="225" w:type="dxa"/>
              <w:right w:w="300" w:type="dxa"/>
            </w:tcMar>
            <w:hideMark/>
          </w:tcPr>
          <w:p w14:paraId="2EFE3D9A" w14:textId="77777777" w:rsidR="007C4CF2" w:rsidRPr="007C4CF2" w:rsidRDefault="007C4CF2" w:rsidP="007C4CF2">
            <w:r w:rsidRPr="007C4CF2">
              <w:t>Additional Low-Profile Bracket</w:t>
            </w:r>
          </w:p>
        </w:tc>
        <w:tc>
          <w:tcPr>
            <w:tcW w:w="0" w:type="auto"/>
            <w:tcMar>
              <w:top w:w="225" w:type="dxa"/>
              <w:left w:w="300" w:type="dxa"/>
              <w:bottom w:w="225" w:type="dxa"/>
              <w:right w:w="300" w:type="dxa"/>
            </w:tcMar>
            <w:hideMark/>
          </w:tcPr>
          <w:p w14:paraId="6A8DFF2E" w14:textId="77777777" w:rsidR="007C4CF2" w:rsidRPr="007C4CF2" w:rsidRDefault="007C4CF2" w:rsidP="007C4CF2">
            <w:r w:rsidRPr="007C4CF2">
              <w:t>Yes</w:t>
            </w:r>
          </w:p>
        </w:tc>
      </w:tr>
      <w:tr w:rsidR="007C4CF2" w:rsidRPr="007C4CF2" w14:paraId="3736C690" w14:textId="77777777" w:rsidTr="007C4CF2">
        <w:trPr>
          <w:tblCellSpacing w:w="15" w:type="dxa"/>
        </w:trPr>
        <w:tc>
          <w:tcPr>
            <w:tcW w:w="0" w:type="auto"/>
            <w:tcMar>
              <w:top w:w="225" w:type="dxa"/>
              <w:left w:w="300" w:type="dxa"/>
              <w:bottom w:w="225" w:type="dxa"/>
              <w:right w:w="300" w:type="dxa"/>
            </w:tcMar>
            <w:hideMark/>
          </w:tcPr>
          <w:p w14:paraId="22898A22" w14:textId="77777777" w:rsidR="007C4CF2" w:rsidRPr="007C4CF2" w:rsidRDefault="007C4CF2" w:rsidP="007C4CF2">
            <w:r w:rsidRPr="007C4CF2">
              <w:t>PCIe Version and Lane</w:t>
            </w:r>
          </w:p>
        </w:tc>
        <w:tc>
          <w:tcPr>
            <w:tcW w:w="0" w:type="auto"/>
            <w:tcMar>
              <w:top w:w="225" w:type="dxa"/>
              <w:left w:w="300" w:type="dxa"/>
              <w:bottom w:w="225" w:type="dxa"/>
              <w:right w:w="300" w:type="dxa"/>
            </w:tcMar>
            <w:hideMark/>
          </w:tcPr>
          <w:p w14:paraId="118505A8" w14:textId="77777777" w:rsidR="007C4CF2" w:rsidRPr="007C4CF2" w:rsidRDefault="007C4CF2" w:rsidP="007C4CF2">
            <w:r w:rsidRPr="007C4CF2">
              <w:t>2.1 x1 (compatible with x4/x8/x16)</w:t>
            </w:r>
          </w:p>
        </w:tc>
      </w:tr>
      <w:tr w:rsidR="007C4CF2" w:rsidRPr="007C4CF2" w14:paraId="29D64C1E" w14:textId="77777777" w:rsidTr="007C4CF2">
        <w:trPr>
          <w:tblCellSpacing w:w="15" w:type="dxa"/>
        </w:trPr>
        <w:tc>
          <w:tcPr>
            <w:tcW w:w="0" w:type="auto"/>
            <w:tcMar>
              <w:top w:w="225" w:type="dxa"/>
              <w:left w:w="300" w:type="dxa"/>
              <w:bottom w:w="225" w:type="dxa"/>
              <w:right w:w="300" w:type="dxa"/>
            </w:tcMar>
            <w:hideMark/>
          </w:tcPr>
          <w:p w14:paraId="4B6C558F" w14:textId="77777777" w:rsidR="007C4CF2" w:rsidRPr="007C4CF2" w:rsidRDefault="007C4CF2" w:rsidP="007C4CF2">
            <w:r w:rsidRPr="007C4CF2">
              <w:t>Supported Standards</w:t>
            </w:r>
          </w:p>
        </w:tc>
        <w:tc>
          <w:tcPr>
            <w:tcW w:w="0" w:type="auto"/>
            <w:tcMar>
              <w:top w:w="225" w:type="dxa"/>
              <w:left w:w="300" w:type="dxa"/>
              <w:bottom w:w="225" w:type="dxa"/>
              <w:right w:w="300" w:type="dxa"/>
            </w:tcMar>
            <w:hideMark/>
          </w:tcPr>
          <w:p w14:paraId="161B2139" w14:textId="77777777" w:rsidR="007C4CF2" w:rsidRPr="007C4CF2" w:rsidRDefault="007C4CF2" w:rsidP="007C4CF2">
            <w:r w:rsidRPr="007C4CF2">
              <w:t>IEEE 802.3</w:t>
            </w:r>
            <w:r w:rsidRPr="007C4CF2">
              <w:br/>
              <w:t>IEEE 802.3ab (1000BASE-T Gigabit Ethernet)</w:t>
            </w:r>
            <w:r w:rsidRPr="007C4CF2">
              <w:br/>
              <w:t>IEEE 802.3u (100BASE-TX Fast Ethernet)</w:t>
            </w:r>
            <w:r w:rsidRPr="007C4CF2">
              <w:br/>
              <w:t>IEEE 802.3x (Ethernet flow control)</w:t>
            </w:r>
            <w:r w:rsidRPr="007C4CF2">
              <w:br/>
              <w:t>IEEE 802.3z (1000BASE-X Gbit/s)</w:t>
            </w:r>
            <w:r w:rsidRPr="007C4CF2">
              <w:br/>
            </w:r>
            <w:r w:rsidRPr="007C4CF2">
              <w:lastRenderedPageBreak/>
              <w:t>IEEE 1588 (Precision Time Protocol (PTP))</w:t>
            </w:r>
            <w:r w:rsidRPr="007C4CF2">
              <w:br/>
              <w:t>IEEE 802.1as (Timing and Synchronization)</w:t>
            </w:r>
            <w:r w:rsidRPr="007C4CF2">
              <w:br/>
              <w:t>IEEE 802.1ax (Link Aggregation)</w:t>
            </w:r>
            <w:r w:rsidRPr="007C4CF2">
              <w:br/>
              <w:t>IEEE 802.3az (Energy Efficient Ethernet (EEE))</w:t>
            </w:r>
          </w:p>
        </w:tc>
      </w:tr>
      <w:tr w:rsidR="007C4CF2" w:rsidRPr="007C4CF2" w14:paraId="6AB4E957" w14:textId="77777777" w:rsidTr="007C4CF2">
        <w:trPr>
          <w:tblCellSpacing w:w="15" w:type="dxa"/>
        </w:trPr>
        <w:tc>
          <w:tcPr>
            <w:tcW w:w="0" w:type="auto"/>
            <w:tcMar>
              <w:top w:w="225" w:type="dxa"/>
              <w:left w:w="300" w:type="dxa"/>
              <w:bottom w:w="225" w:type="dxa"/>
              <w:right w:w="300" w:type="dxa"/>
            </w:tcMar>
            <w:hideMark/>
          </w:tcPr>
          <w:p w14:paraId="1D32EE85" w14:textId="77777777" w:rsidR="007C4CF2" w:rsidRPr="007C4CF2" w:rsidRDefault="007C4CF2" w:rsidP="007C4CF2">
            <w:r w:rsidRPr="007C4CF2">
              <w:lastRenderedPageBreak/>
              <w:t>Conformity</w:t>
            </w:r>
          </w:p>
        </w:tc>
        <w:tc>
          <w:tcPr>
            <w:tcW w:w="0" w:type="auto"/>
            <w:tcMar>
              <w:top w:w="225" w:type="dxa"/>
              <w:left w:w="300" w:type="dxa"/>
              <w:bottom w:w="225" w:type="dxa"/>
              <w:right w:w="300" w:type="dxa"/>
            </w:tcMar>
            <w:hideMark/>
          </w:tcPr>
          <w:p w14:paraId="45F53311" w14:textId="5854C363" w:rsidR="007C4CF2" w:rsidRPr="007C4CF2" w:rsidRDefault="007C4CF2" w:rsidP="007C4CF2">
            <w:r w:rsidRPr="007C4CF2">
              <w:t>CE, FCC, KC, PCB is UL Recognized</w:t>
            </w:r>
            <w:r w:rsidRPr="007C4CF2">
              <w:br/>
              <w:t>Certificates for your GigE Interface Card</w:t>
            </w:r>
            <w:r w:rsidRPr="007C4CF2">
              <w:br/>
              <w:t>For more information, see the Compliance section of the Basler website.</w:t>
            </w:r>
          </w:p>
        </w:tc>
      </w:tr>
      <w:tr w:rsidR="007C4CF2" w:rsidRPr="007C4CF2" w14:paraId="2D91A2BF" w14:textId="77777777" w:rsidTr="007C4CF2">
        <w:trPr>
          <w:tblCellSpacing w:w="15" w:type="dxa"/>
        </w:trPr>
        <w:tc>
          <w:tcPr>
            <w:tcW w:w="0" w:type="auto"/>
            <w:tcMar>
              <w:top w:w="225" w:type="dxa"/>
              <w:left w:w="300" w:type="dxa"/>
              <w:bottom w:w="225" w:type="dxa"/>
              <w:right w:w="300" w:type="dxa"/>
            </w:tcMar>
            <w:hideMark/>
          </w:tcPr>
          <w:p w14:paraId="3968AA76" w14:textId="77777777" w:rsidR="007C4CF2" w:rsidRPr="007C4CF2" w:rsidRDefault="007C4CF2" w:rsidP="007C4CF2">
            <w:r w:rsidRPr="007C4CF2">
              <w:t>Power Consumption</w:t>
            </w:r>
          </w:p>
        </w:tc>
        <w:tc>
          <w:tcPr>
            <w:tcW w:w="0" w:type="auto"/>
            <w:tcMar>
              <w:top w:w="225" w:type="dxa"/>
              <w:left w:w="300" w:type="dxa"/>
              <w:bottom w:w="225" w:type="dxa"/>
              <w:right w:w="300" w:type="dxa"/>
            </w:tcMar>
            <w:hideMark/>
          </w:tcPr>
          <w:p w14:paraId="7F60545E" w14:textId="77777777" w:rsidR="007C4CF2" w:rsidRPr="007C4CF2" w:rsidRDefault="007C4CF2" w:rsidP="007C4CF2">
            <w:r w:rsidRPr="007C4CF2">
              <w:t>0.74 W</w:t>
            </w:r>
          </w:p>
        </w:tc>
      </w:tr>
      <w:tr w:rsidR="007C4CF2" w:rsidRPr="007C4CF2" w14:paraId="4A730FF5" w14:textId="77777777" w:rsidTr="007C4CF2">
        <w:trPr>
          <w:tblCellSpacing w:w="15" w:type="dxa"/>
        </w:trPr>
        <w:tc>
          <w:tcPr>
            <w:tcW w:w="0" w:type="auto"/>
            <w:tcMar>
              <w:top w:w="225" w:type="dxa"/>
              <w:left w:w="300" w:type="dxa"/>
              <w:bottom w:w="225" w:type="dxa"/>
              <w:right w:w="300" w:type="dxa"/>
            </w:tcMar>
            <w:hideMark/>
          </w:tcPr>
          <w:p w14:paraId="471D31F5" w14:textId="77777777" w:rsidR="007C4CF2" w:rsidRPr="007C4CF2" w:rsidRDefault="007C4CF2" w:rsidP="007C4CF2">
            <w:r w:rsidRPr="007C4CF2">
              <w:t>Maximum Packet Size</w:t>
            </w:r>
            <w:r w:rsidRPr="007C4CF2">
              <w:br/>
              <w:t>for Jumbo Frames</w:t>
            </w:r>
          </w:p>
        </w:tc>
        <w:tc>
          <w:tcPr>
            <w:tcW w:w="0" w:type="auto"/>
            <w:tcMar>
              <w:top w:w="225" w:type="dxa"/>
              <w:left w:w="300" w:type="dxa"/>
              <w:bottom w:w="225" w:type="dxa"/>
              <w:right w:w="300" w:type="dxa"/>
            </w:tcMar>
            <w:hideMark/>
          </w:tcPr>
          <w:p w14:paraId="4612632A" w14:textId="77777777" w:rsidR="007C4CF2" w:rsidRPr="007C4CF2" w:rsidRDefault="007C4CF2" w:rsidP="007C4CF2">
            <w:r w:rsidRPr="007C4CF2">
              <w:t>Up to 9.5 kB</w:t>
            </w:r>
          </w:p>
        </w:tc>
      </w:tr>
    </w:tbl>
    <w:p w14:paraId="3B3811B5" w14:textId="77777777" w:rsidR="007C4CF2" w:rsidRPr="007C4CF2" w:rsidRDefault="007C4CF2" w:rsidP="007C4CF2">
      <w:pPr>
        <w:rPr>
          <w:b/>
          <w:bCs/>
        </w:rPr>
      </w:pPr>
      <w:r w:rsidRPr="007C4CF2">
        <w:rPr>
          <w:b/>
          <w:bCs/>
        </w:rPr>
        <w:t>Jumbo Frames</w:t>
      </w:r>
    </w:p>
    <w:p w14:paraId="710C0F36" w14:textId="3F9AFF11" w:rsidR="007C4CF2" w:rsidRPr="007C4CF2" w:rsidRDefault="007C4CF2" w:rsidP="007C4CF2">
      <w:r w:rsidRPr="007C4CF2">
        <w:t>If you want to use the maximum packet size for jumbo frames, set the network adapter to its maximum value as described in the Network Configuration (GigE Cameras) topic. Also set the </w:t>
      </w:r>
      <w:proofErr w:type="spellStart"/>
      <w:r w:rsidRPr="007C4CF2">
        <w:t>GevSCPSPacketSize</w:t>
      </w:r>
      <w:proofErr w:type="spellEnd"/>
      <w:r w:rsidRPr="007C4CF2">
        <w:t> parameter to its maximum size. Bear in mind that Basler ace 2 cameras only support a packet size of up to 8192 bytes.</w:t>
      </w:r>
    </w:p>
    <w:p w14:paraId="76B08F3D" w14:textId="2578C178" w:rsidR="007C4CF2" w:rsidRPr="007C4CF2" w:rsidRDefault="007C4CF2" w:rsidP="007C4CF2">
      <w:pPr>
        <w:rPr>
          <w:b/>
          <w:bCs/>
        </w:rPr>
      </w:pPr>
      <w:r w:rsidRPr="007C4CF2">
        <w:rPr>
          <w:b/>
          <w:bCs/>
        </w:rPr>
        <w:t>LED States#</w:t>
      </w:r>
    </w:p>
    <w:tbl>
      <w:tblPr>
        <w:tblW w:w="10320" w:type="dxa"/>
        <w:tblCellSpacing w:w="15" w:type="dxa"/>
        <w:tblCellMar>
          <w:top w:w="15" w:type="dxa"/>
          <w:left w:w="15" w:type="dxa"/>
          <w:bottom w:w="15" w:type="dxa"/>
          <w:right w:w="15" w:type="dxa"/>
        </w:tblCellMar>
        <w:tblLook w:val="04A0" w:firstRow="1" w:lastRow="0" w:firstColumn="1" w:lastColumn="0" w:noHBand="0" w:noVBand="1"/>
      </w:tblPr>
      <w:tblGrid>
        <w:gridCol w:w="2179"/>
        <w:gridCol w:w="2846"/>
        <w:gridCol w:w="2708"/>
        <w:gridCol w:w="2587"/>
      </w:tblGrid>
      <w:tr w:rsidR="007C4CF2" w:rsidRPr="007C4CF2" w14:paraId="3FE365AD" w14:textId="77777777" w:rsidTr="007C4CF2">
        <w:trPr>
          <w:tblHeader/>
          <w:tblCellSpacing w:w="15" w:type="dxa"/>
        </w:trPr>
        <w:tc>
          <w:tcPr>
            <w:tcW w:w="0" w:type="auto"/>
            <w:tcMar>
              <w:top w:w="225" w:type="dxa"/>
              <w:left w:w="300" w:type="dxa"/>
              <w:bottom w:w="225" w:type="dxa"/>
              <w:right w:w="300" w:type="dxa"/>
            </w:tcMar>
            <w:hideMark/>
          </w:tcPr>
          <w:p w14:paraId="6E74047A" w14:textId="77777777" w:rsidR="007C4CF2" w:rsidRPr="007C4CF2" w:rsidRDefault="007C4CF2" w:rsidP="007C4CF2">
            <w:r w:rsidRPr="007C4CF2">
              <w:t>LED</w:t>
            </w:r>
          </w:p>
        </w:tc>
        <w:tc>
          <w:tcPr>
            <w:tcW w:w="0" w:type="auto"/>
            <w:tcMar>
              <w:top w:w="225" w:type="dxa"/>
              <w:left w:w="300" w:type="dxa"/>
              <w:bottom w:w="225" w:type="dxa"/>
              <w:right w:w="300" w:type="dxa"/>
            </w:tcMar>
            <w:hideMark/>
          </w:tcPr>
          <w:p w14:paraId="73DCBD1F" w14:textId="77777777" w:rsidR="007C4CF2" w:rsidRPr="007C4CF2" w:rsidRDefault="007C4CF2" w:rsidP="007C4CF2">
            <w:r w:rsidRPr="007C4CF2">
              <w:t>State at 1000 Mbps</w:t>
            </w:r>
          </w:p>
        </w:tc>
        <w:tc>
          <w:tcPr>
            <w:tcW w:w="0" w:type="auto"/>
            <w:tcMar>
              <w:top w:w="225" w:type="dxa"/>
              <w:left w:w="300" w:type="dxa"/>
              <w:bottom w:w="225" w:type="dxa"/>
              <w:right w:w="300" w:type="dxa"/>
            </w:tcMar>
            <w:hideMark/>
          </w:tcPr>
          <w:p w14:paraId="76503164" w14:textId="77777777" w:rsidR="007C4CF2" w:rsidRPr="007C4CF2" w:rsidRDefault="007C4CF2" w:rsidP="007C4CF2">
            <w:r w:rsidRPr="007C4CF2">
              <w:t>State at 100 Mbps</w:t>
            </w:r>
          </w:p>
        </w:tc>
        <w:tc>
          <w:tcPr>
            <w:tcW w:w="0" w:type="auto"/>
            <w:tcMar>
              <w:top w:w="225" w:type="dxa"/>
              <w:left w:w="300" w:type="dxa"/>
              <w:bottom w:w="225" w:type="dxa"/>
              <w:right w:w="300" w:type="dxa"/>
            </w:tcMar>
            <w:hideMark/>
          </w:tcPr>
          <w:p w14:paraId="7D83AF27" w14:textId="77777777" w:rsidR="007C4CF2" w:rsidRPr="007C4CF2" w:rsidRDefault="007C4CF2" w:rsidP="007C4CF2">
            <w:r w:rsidRPr="007C4CF2">
              <w:t>State at 10 Mbps</w:t>
            </w:r>
          </w:p>
        </w:tc>
      </w:tr>
      <w:tr w:rsidR="007C4CF2" w:rsidRPr="007C4CF2" w14:paraId="27971A6F" w14:textId="77777777" w:rsidTr="007C4CF2">
        <w:trPr>
          <w:tblCellSpacing w:w="15" w:type="dxa"/>
        </w:trPr>
        <w:tc>
          <w:tcPr>
            <w:tcW w:w="0" w:type="auto"/>
            <w:tcMar>
              <w:top w:w="225" w:type="dxa"/>
              <w:left w:w="300" w:type="dxa"/>
              <w:bottom w:w="225" w:type="dxa"/>
              <w:right w:w="300" w:type="dxa"/>
            </w:tcMar>
            <w:hideMark/>
          </w:tcPr>
          <w:p w14:paraId="11C07717" w14:textId="77777777" w:rsidR="007C4CF2" w:rsidRPr="007C4CF2" w:rsidRDefault="007C4CF2" w:rsidP="007C4CF2">
            <w:r w:rsidRPr="007C4CF2">
              <w:t>Link LED</w:t>
            </w:r>
          </w:p>
        </w:tc>
        <w:tc>
          <w:tcPr>
            <w:tcW w:w="0" w:type="auto"/>
            <w:tcMar>
              <w:top w:w="225" w:type="dxa"/>
              <w:left w:w="300" w:type="dxa"/>
              <w:bottom w:w="225" w:type="dxa"/>
              <w:right w:w="300" w:type="dxa"/>
            </w:tcMar>
            <w:hideMark/>
          </w:tcPr>
          <w:p w14:paraId="1FA56DA5" w14:textId="77777777" w:rsidR="007C4CF2" w:rsidRPr="007C4CF2" w:rsidRDefault="007C4CF2" w:rsidP="007C4CF2">
            <w:r w:rsidRPr="007C4CF2">
              <w:t>Static orange</w:t>
            </w:r>
          </w:p>
        </w:tc>
        <w:tc>
          <w:tcPr>
            <w:tcW w:w="0" w:type="auto"/>
            <w:tcMar>
              <w:top w:w="225" w:type="dxa"/>
              <w:left w:w="300" w:type="dxa"/>
              <w:bottom w:w="225" w:type="dxa"/>
              <w:right w:w="300" w:type="dxa"/>
            </w:tcMar>
            <w:hideMark/>
          </w:tcPr>
          <w:p w14:paraId="286C26F0" w14:textId="77777777" w:rsidR="007C4CF2" w:rsidRPr="007C4CF2" w:rsidRDefault="007C4CF2" w:rsidP="007C4CF2">
            <w:r w:rsidRPr="007C4CF2">
              <w:t>Static green</w:t>
            </w:r>
          </w:p>
        </w:tc>
        <w:tc>
          <w:tcPr>
            <w:tcW w:w="0" w:type="auto"/>
            <w:tcMar>
              <w:top w:w="225" w:type="dxa"/>
              <w:left w:w="300" w:type="dxa"/>
              <w:bottom w:w="225" w:type="dxa"/>
              <w:right w:w="300" w:type="dxa"/>
            </w:tcMar>
            <w:hideMark/>
          </w:tcPr>
          <w:p w14:paraId="581E906A" w14:textId="77777777" w:rsidR="007C4CF2" w:rsidRPr="007C4CF2" w:rsidRDefault="007C4CF2" w:rsidP="007C4CF2">
            <w:r w:rsidRPr="007C4CF2">
              <w:t>-</w:t>
            </w:r>
          </w:p>
        </w:tc>
      </w:tr>
      <w:tr w:rsidR="007C4CF2" w:rsidRPr="007C4CF2" w14:paraId="08214BB4" w14:textId="77777777" w:rsidTr="007C4CF2">
        <w:trPr>
          <w:tblCellSpacing w:w="15" w:type="dxa"/>
        </w:trPr>
        <w:tc>
          <w:tcPr>
            <w:tcW w:w="0" w:type="auto"/>
            <w:tcMar>
              <w:top w:w="225" w:type="dxa"/>
              <w:left w:w="300" w:type="dxa"/>
              <w:bottom w:w="225" w:type="dxa"/>
              <w:right w:w="300" w:type="dxa"/>
            </w:tcMar>
            <w:hideMark/>
          </w:tcPr>
          <w:p w14:paraId="6ADDEBB0" w14:textId="77777777" w:rsidR="007C4CF2" w:rsidRPr="007C4CF2" w:rsidRDefault="007C4CF2" w:rsidP="007C4CF2">
            <w:r w:rsidRPr="007C4CF2">
              <w:t>Network LED</w:t>
            </w:r>
          </w:p>
        </w:tc>
        <w:tc>
          <w:tcPr>
            <w:tcW w:w="0" w:type="auto"/>
            <w:tcMar>
              <w:top w:w="225" w:type="dxa"/>
              <w:left w:w="300" w:type="dxa"/>
              <w:bottom w:w="225" w:type="dxa"/>
              <w:right w:w="300" w:type="dxa"/>
            </w:tcMar>
            <w:hideMark/>
          </w:tcPr>
          <w:p w14:paraId="5EA7B732" w14:textId="77777777" w:rsidR="007C4CF2" w:rsidRPr="007C4CF2" w:rsidRDefault="007C4CF2" w:rsidP="007C4CF2">
            <w:r w:rsidRPr="007C4CF2">
              <w:t>Flashing green</w:t>
            </w:r>
          </w:p>
        </w:tc>
        <w:tc>
          <w:tcPr>
            <w:tcW w:w="0" w:type="auto"/>
            <w:tcMar>
              <w:top w:w="225" w:type="dxa"/>
              <w:left w:w="300" w:type="dxa"/>
              <w:bottom w:w="225" w:type="dxa"/>
              <w:right w:w="300" w:type="dxa"/>
            </w:tcMar>
            <w:hideMark/>
          </w:tcPr>
          <w:p w14:paraId="632BE788" w14:textId="77777777" w:rsidR="007C4CF2" w:rsidRPr="007C4CF2" w:rsidRDefault="007C4CF2" w:rsidP="007C4CF2">
            <w:r w:rsidRPr="007C4CF2">
              <w:t>Flashing green</w:t>
            </w:r>
          </w:p>
        </w:tc>
        <w:tc>
          <w:tcPr>
            <w:tcW w:w="0" w:type="auto"/>
            <w:tcMar>
              <w:top w:w="225" w:type="dxa"/>
              <w:left w:w="300" w:type="dxa"/>
              <w:bottom w:w="225" w:type="dxa"/>
              <w:right w:w="300" w:type="dxa"/>
            </w:tcMar>
            <w:hideMark/>
          </w:tcPr>
          <w:p w14:paraId="265E3B9A" w14:textId="77777777" w:rsidR="007C4CF2" w:rsidRPr="007C4CF2" w:rsidRDefault="007C4CF2" w:rsidP="007C4CF2">
            <w:r w:rsidRPr="007C4CF2">
              <w:t>-</w:t>
            </w:r>
          </w:p>
        </w:tc>
      </w:tr>
    </w:tbl>
    <w:p w14:paraId="0061FA2F" w14:textId="3D7CC58E" w:rsidR="007C4CF2" w:rsidRPr="007C4CF2" w:rsidRDefault="007C4CF2" w:rsidP="007C4CF2">
      <w:r w:rsidRPr="007C4CF2">
        <mc:AlternateContent>
          <mc:Choice Requires="wps">
            <w:drawing>
              <wp:inline distT="0" distB="0" distL="0" distR="0" wp14:anchorId="28B54A1F" wp14:editId="7ADAF883">
                <wp:extent cx="304800" cy="304800"/>
                <wp:effectExtent l="0" t="0" r="0" b="0"/>
                <wp:docPr id="1681034814" name="Rectangle 2" descr="LED Statu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4D6CF1" id="Rectangle 2" o:spid="_x0000_s1026" alt="LED Statu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DA37B08" w14:textId="77777777" w:rsidR="007C4CF2" w:rsidRDefault="007C4CF2" w:rsidP="007C4CF2">
      <w:pPr>
        <w:rPr>
          <w:b/>
          <w:bCs/>
        </w:rPr>
      </w:pPr>
    </w:p>
    <w:p w14:paraId="49C77C9E" w14:textId="296CCA8E" w:rsidR="007C4CF2" w:rsidRPr="007C4CF2" w:rsidRDefault="007C4CF2" w:rsidP="007C4CF2">
      <w:pPr>
        <w:rPr>
          <w:b/>
          <w:bCs/>
        </w:rPr>
      </w:pPr>
      <w:r w:rsidRPr="007C4CF2">
        <w:rPr>
          <w:b/>
          <w:bCs/>
        </w:rPr>
        <w:lastRenderedPageBreak/>
        <w:t>GigE Interface Card Dimensions#</w:t>
      </w:r>
    </w:p>
    <w:p w14:paraId="0504A54D" w14:textId="33B3B85A" w:rsidR="007C4CF2" w:rsidRPr="007C4CF2" w:rsidRDefault="007C4CF2" w:rsidP="007C4CF2">
      <w:r w:rsidRPr="007C4CF2">
        <mc:AlternateContent>
          <mc:Choice Requires="wps">
            <w:drawing>
              <wp:inline distT="0" distB="0" distL="0" distR="0" wp14:anchorId="4DE947C6" wp14:editId="669D1822">
                <wp:extent cx="304800" cy="304800"/>
                <wp:effectExtent l="0" t="0" r="0" b="0"/>
                <wp:docPr id="1937958719" name="Rectangle 1" descr="Basler GigE Interface Card, 1 Por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EAD331" id="Rectangle 1" o:spid="_x0000_s1026" alt="Basler GigE Interface Card, 1 Por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E462C0E" w14:textId="5AAD6B6E" w:rsidR="007C4CF2" w:rsidRPr="007C4CF2" w:rsidRDefault="007C4CF2" w:rsidP="007C4CF2">
      <w:pPr>
        <w:rPr>
          <w:b/>
          <w:bCs/>
        </w:rPr>
      </w:pPr>
      <w:r w:rsidRPr="007C4CF2">
        <w:rPr>
          <w:b/>
          <w:bCs/>
        </w:rPr>
        <w:t>Environmental Requirements#</w:t>
      </w:r>
    </w:p>
    <w:p w14:paraId="0514C797" w14:textId="77777777" w:rsidR="007C4CF2" w:rsidRPr="007C4CF2" w:rsidRDefault="007C4CF2" w:rsidP="007C4CF2">
      <w:r w:rsidRPr="007C4CF2">
        <w:t>The Basler GigE Interface Cards are specified for indoor use only.</w:t>
      </w:r>
    </w:p>
    <w:tbl>
      <w:tblPr>
        <w:tblW w:w="10320" w:type="dxa"/>
        <w:tblCellSpacing w:w="15" w:type="dxa"/>
        <w:tblCellMar>
          <w:top w:w="15" w:type="dxa"/>
          <w:left w:w="15" w:type="dxa"/>
          <w:bottom w:w="15" w:type="dxa"/>
          <w:right w:w="15" w:type="dxa"/>
        </w:tblCellMar>
        <w:tblLook w:val="04A0" w:firstRow="1" w:lastRow="0" w:firstColumn="1" w:lastColumn="0" w:noHBand="0" w:noVBand="1"/>
      </w:tblPr>
      <w:tblGrid>
        <w:gridCol w:w="4951"/>
        <w:gridCol w:w="5369"/>
      </w:tblGrid>
      <w:tr w:rsidR="007C4CF2" w:rsidRPr="007C4CF2" w14:paraId="101593C8" w14:textId="77777777" w:rsidTr="007C4CF2">
        <w:trPr>
          <w:tblHeader/>
          <w:tblCellSpacing w:w="15" w:type="dxa"/>
        </w:trPr>
        <w:tc>
          <w:tcPr>
            <w:tcW w:w="0" w:type="auto"/>
            <w:tcMar>
              <w:top w:w="225" w:type="dxa"/>
              <w:left w:w="300" w:type="dxa"/>
              <w:bottom w:w="225" w:type="dxa"/>
              <w:right w:w="300" w:type="dxa"/>
            </w:tcMar>
            <w:hideMark/>
          </w:tcPr>
          <w:p w14:paraId="0939AFAB" w14:textId="77777777" w:rsidR="007C4CF2" w:rsidRPr="007C4CF2" w:rsidRDefault="007C4CF2" w:rsidP="007C4CF2"/>
        </w:tc>
        <w:tc>
          <w:tcPr>
            <w:tcW w:w="0" w:type="auto"/>
            <w:tcMar>
              <w:top w:w="225" w:type="dxa"/>
              <w:left w:w="300" w:type="dxa"/>
              <w:bottom w:w="225" w:type="dxa"/>
              <w:right w:w="300" w:type="dxa"/>
            </w:tcMar>
            <w:hideMark/>
          </w:tcPr>
          <w:p w14:paraId="0514F55D" w14:textId="77777777" w:rsidR="007C4CF2" w:rsidRPr="007C4CF2" w:rsidRDefault="007C4CF2" w:rsidP="007C4CF2"/>
        </w:tc>
      </w:tr>
      <w:tr w:rsidR="007C4CF2" w:rsidRPr="007C4CF2" w14:paraId="4091DC4D" w14:textId="77777777" w:rsidTr="007C4CF2">
        <w:trPr>
          <w:tblCellSpacing w:w="15" w:type="dxa"/>
        </w:trPr>
        <w:tc>
          <w:tcPr>
            <w:tcW w:w="0" w:type="auto"/>
            <w:tcMar>
              <w:top w:w="225" w:type="dxa"/>
              <w:left w:w="300" w:type="dxa"/>
              <w:bottom w:w="225" w:type="dxa"/>
              <w:right w:w="300" w:type="dxa"/>
            </w:tcMar>
            <w:hideMark/>
          </w:tcPr>
          <w:p w14:paraId="26D30C77" w14:textId="77777777" w:rsidR="007C4CF2" w:rsidRPr="007C4CF2" w:rsidRDefault="007C4CF2" w:rsidP="007C4CF2">
            <w:r w:rsidRPr="007C4CF2">
              <w:t>Housing Temperature During Operation</w:t>
            </w:r>
          </w:p>
        </w:tc>
        <w:tc>
          <w:tcPr>
            <w:tcW w:w="0" w:type="auto"/>
            <w:tcMar>
              <w:top w:w="225" w:type="dxa"/>
              <w:left w:w="300" w:type="dxa"/>
              <w:bottom w:w="225" w:type="dxa"/>
              <w:right w:w="300" w:type="dxa"/>
            </w:tcMar>
            <w:hideMark/>
          </w:tcPr>
          <w:p w14:paraId="0991FC89" w14:textId="77777777" w:rsidR="007C4CF2" w:rsidRPr="007C4CF2" w:rsidRDefault="007C4CF2" w:rsidP="007C4CF2">
            <w:r w:rsidRPr="007C4CF2">
              <w:t>0–55 °C (32–131 °F)</w:t>
            </w:r>
          </w:p>
        </w:tc>
      </w:tr>
      <w:tr w:rsidR="007C4CF2" w:rsidRPr="007C4CF2" w14:paraId="486060CF" w14:textId="77777777" w:rsidTr="007C4CF2">
        <w:trPr>
          <w:tblCellSpacing w:w="15" w:type="dxa"/>
        </w:trPr>
        <w:tc>
          <w:tcPr>
            <w:tcW w:w="0" w:type="auto"/>
            <w:tcMar>
              <w:top w:w="225" w:type="dxa"/>
              <w:left w:w="300" w:type="dxa"/>
              <w:bottom w:w="225" w:type="dxa"/>
              <w:right w:w="300" w:type="dxa"/>
            </w:tcMar>
            <w:hideMark/>
          </w:tcPr>
          <w:p w14:paraId="36BD4938" w14:textId="77777777" w:rsidR="007C4CF2" w:rsidRPr="007C4CF2" w:rsidRDefault="007C4CF2" w:rsidP="007C4CF2">
            <w:r w:rsidRPr="007C4CF2">
              <w:t>Humidity During Operation</w:t>
            </w:r>
          </w:p>
        </w:tc>
        <w:tc>
          <w:tcPr>
            <w:tcW w:w="0" w:type="auto"/>
            <w:tcMar>
              <w:top w:w="225" w:type="dxa"/>
              <w:left w:w="300" w:type="dxa"/>
              <w:bottom w:w="225" w:type="dxa"/>
              <w:right w:w="300" w:type="dxa"/>
            </w:tcMar>
            <w:hideMark/>
          </w:tcPr>
          <w:p w14:paraId="16AEBB9E" w14:textId="77777777" w:rsidR="007C4CF2" w:rsidRPr="007C4CF2" w:rsidRDefault="007C4CF2" w:rsidP="007C4CF2">
            <w:r w:rsidRPr="007C4CF2">
              <w:t>20–80 % relative humidity, non-condensing</w:t>
            </w:r>
          </w:p>
        </w:tc>
      </w:tr>
      <w:tr w:rsidR="007C4CF2" w:rsidRPr="007C4CF2" w14:paraId="3D7498CD" w14:textId="77777777" w:rsidTr="007C4CF2">
        <w:trPr>
          <w:tblCellSpacing w:w="15" w:type="dxa"/>
        </w:trPr>
        <w:tc>
          <w:tcPr>
            <w:tcW w:w="0" w:type="auto"/>
            <w:tcMar>
              <w:top w:w="225" w:type="dxa"/>
              <w:left w:w="300" w:type="dxa"/>
              <w:bottom w:w="225" w:type="dxa"/>
              <w:right w:w="300" w:type="dxa"/>
            </w:tcMar>
            <w:hideMark/>
          </w:tcPr>
          <w:p w14:paraId="346EB8D2" w14:textId="77777777" w:rsidR="007C4CF2" w:rsidRPr="007C4CF2" w:rsidRDefault="007C4CF2" w:rsidP="007C4CF2">
            <w:r w:rsidRPr="007C4CF2">
              <w:t>Housing Temperature During Storage</w:t>
            </w:r>
          </w:p>
        </w:tc>
        <w:tc>
          <w:tcPr>
            <w:tcW w:w="0" w:type="auto"/>
            <w:tcMar>
              <w:top w:w="225" w:type="dxa"/>
              <w:left w:w="300" w:type="dxa"/>
              <w:bottom w:w="225" w:type="dxa"/>
              <w:right w:w="300" w:type="dxa"/>
            </w:tcMar>
            <w:hideMark/>
          </w:tcPr>
          <w:p w14:paraId="16B51F0B" w14:textId="77777777" w:rsidR="007C4CF2" w:rsidRPr="007C4CF2" w:rsidRDefault="007C4CF2" w:rsidP="007C4CF2">
            <w:r w:rsidRPr="007C4CF2">
              <w:t>-20–70 °C (-4–158 °F)</w:t>
            </w:r>
          </w:p>
        </w:tc>
      </w:tr>
      <w:tr w:rsidR="007C4CF2" w:rsidRPr="007C4CF2" w14:paraId="25D27808" w14:textId="77777777" w:rsidTr="007C4CF2">
        <w:trPr>
          <w:tblCellSpacing w:w="15" w:type="dxa"/>
        </w:trPr>
        <w:tc>
          <w:tcPr>
            <w:tcW w:w="0" w:type="auto"/>
            <w:tcMar>
              <w:top w:w="225" w:type="dxa"/>
              <w:left w:w="300" w:type="dxa"/>
              <w:bottom w:w="225" w:type="dxa"/>
              <w:right w:w="300" w:type="dxa"/>
            </w:tcMar>
            <w:hideMark/>
          </w:tcPr>
          <w:p w14:paraId="3D16C5F7" w14:textId="77777777" w:rsidR="007C4CF2" w:rsidRPr="007C4CF2" w:rsidRDefault="007C4CF2" w:rsidP="007C4CF2">
            <w:r w:rsidRPr="007C4CF2">
              <w:t>Humidity During Storage</w:t>
            </w:r>
          </w:p>
        </w:tc>
        <w:tc>
          <w:tcPr>
            <w:tcW w:w="0" w:type="auto"/>
            <w:tcMar>
              <w:top w:w="225" w:type="dxa"/>
              <w:left w:w="300" w:type="dxa"/>
              <w:bottom w:w="225" w:type="dxa"/>
              <w:right w:w="300" w:type="dxa"/>
            </w:tcMar>
            <w:hideMark/>
          </w:tcPr>
          <w:p w14:paraId="2DB5783D" w14:textId="77777777" w:rsidR="007C4CF2" w:rsidRPr="007C4CF2" w:rsidRDefault="007C4CF2" w:rsidP="007C4CF2">
            <w:r w:rsidRPr="007C4CF2">
              <w:t>20–80 % relative humidity, non-condensing</w:t>
            </w:r>
          </w:p>
        </w:tc>
      </w:tr>
    </w:tbl>
    <w:p w14:paraId="446B63B5" w14:textId="77777777" w:rsidR="007C4CF2" w:rsidRDefault="007C4CF2" w:rsidP="007C4CF2">
      <w:r>
        <w:t>Please contact OEM Automatic for technical assistance.</w:t>
      </w:r>
    </w:p>
    <w:p w14:paraId="66DCE8F3" w14:textId="77777777" w:rsidR="007C4CF2" w:rsidRDefault="007C4CF2" w:rsidP="007C4CF2">
      <w:r>
        <w:t xml:space="preserve">Email: </w:t>
      </w:r>
      <w:hyperlink r:id="rId9" w:history="1">
        <w:r w:rsidRPr="00416543">
          <w:rPr>
            <w:rStyle w:val="Hyperlink"/>
          </w:rPr>
          <w:t>vision@oem.co.uk</w:t>
        </w:r>
      </w:hyperlink>
    </w:p>
    <w:p w14:paraId="43E19615" w14:textId="77777777" w:rsidR="007C4CF2" w:rsidRPr="00C77D51" w:rsidRDefault="007C4CF2" w:rsidP="007C4CF2">
      <w:r>
        <w:t>Telephone: 01162849900</w:t>
      </w:r>
    </w:p>
    <w:p w14:paraId="2F4648B3" w14:textId="576F1F04" w:rsidR="00ED3B7E" w:rsidRDefault="00ED3B7E" w:rsidP="005672C5"/>
    <w:p w14:paraId="145F46DE" w14:textId="69FADE17" w:rsidR="00ED3B7E" w:rsidRDefault="00ED3B7E" w:rsidP="005672C5"/>
    <w:p w14:paraId="6983DD5C" w14:textId="2ABB2A30" w:rsidR="004A4BA2" w:rsidRDefault="004A4BA2" w:rsidP="005672C5">
      <w:r>
        <w:t xml:space="preserve"> </w:t>
      </w:r>
    </w:p>
    <w:sectPr w:rsidR="004A4BA2" w:rsidSect="004D757F">
      <w:headerReference w:type="default" r:id="rId10"/>
      <w:footerReference w:type="default" r:id="rId11"/>
      <w:pgSz w:w="11906" w:h="16838"/>
      <w:pgMar w:top="2420" w:right="1440" w:bottom="1440" w:left="1440" w:header="141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93B89" w14:textId="77777777" w:rsidR="00E2180B" w:rsidRDefault="00E2180B" w:rsidP="004D757F">
      <w:pPr>
        <w:spacing w:after="0" w:line="240" w:lineRule="auto"/>
      </w:pPr>
      <w:r>
        <w:separator/>
      </w:r>
    </w:p>
  </w:endnote>
  <w:endnote w:type="continuationSeparator" w:id="0">
    <w:p w14:paraId="2AB5F92E" w14:textId="77777777" w:rsidR="00E2180B" w:rsidRDefault="00E2180B" w:rsidP="004D7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7450034"/>
      <w:docPartObj>
        <w:docPartGallery w:val="Page Numbers (Bottom of Page)"/>
        <w:docPartUnique/>
      </w:docPartObj>
    </w:sdtPr>
    <w:sdtEndPr>
      <w:rPr>
        <w:noProof/>
      </w:rPr>
    </w:sdtEndPr>
    <w:sdtContent>
      <w:p w14:paraId="38F96A00" w14:textId="48EB1DE5" w:rsidR="004D757F" w:rsidRDefault="004D757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74C465" w14:textId="77777777" w:rsidR="004D757F" w:rsidRDefault="004D75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97CE7" w14:textId="77777777" w:rsidR="00E2180B" w:rsidRDefault="00E2180B" w:rsidP="004D757F">
      <w:pPr>
        <w:spacing w:after="0" w:line="240" w:lineRule="auto"/>
      </w:pPr>
      <w:r>
        <w:separator/>
      </w:r>
    </w:p>
  </w:footnote>
  <w:footnote w:type="continuationSeparator" w:id="0">
    <w:p w14:paraId="4F15272D" w14:textId="77777777" w:rsidR="00E2180B" w:rsidRDefault="00E2180B" w:rsidP="004D75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F9614" w14:textId="681A6B13" w:rsidR="004D757F" w:rsidRDefault="004D757F">
    <w:pPr>
      <w:pStyle w:val="Header"/>
    </w:pPr>
    <w:r w:rsidRPr="004D757F">
      <w:rPr>
        <w:noProof/>
      </w:rPr>
      <w:drawing>
        <wp:anchor distT="0" distB="0" distL="114300" distR="114300" simplePos="0" relativeHeight="251660288" behindDoc="1" locked="0" layoutInCell="1" allowOverlap="1" wp14:anchorId="0A96052D" wp14:editId="4AEA456D">
          <wp:simplePos x="0" y="0"/>
          <wp:positionH relativeFrom="column">
            <wp:posOffset>5158031</wp:posOffset>
          </wp:positionH>
          <wp:positionV relativeFrom="page">
            <wp:posOffset>277121</wp:posOffset>
          </wp:positionV>
          <wp:extent cx="1151890" cy="1050925"/>
          <wp:effectExtent l="0" t="0" r="0" b="0"/>
          <wp:wrapTight wrapText="bothSides">
            <wp:wrapPolygon edited="0">
              <wp:start x="0" y="0"/>
              <wp:lineTo x="0" y="21143"/>
              <wp:lineTo x="21076" y="21143"/>
              <wp:lineTo x="21076" y="0"/>
              <wp:lineTo x="0" y="0"/>
            </wp:wrapPolygon>
          </wp:wrapTight>
          <wp:docPr id="1386411213" name="Picture 1"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638815" name="Picture 1" descr="A blue and orang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51890" cy="1050925"/>
                  </a:xfrm>
                  <a:prstGeom prst="rect">
                    <a:avLst/>
                  </a:prstGeom>
                </pic:spPr>
              </pic:pic>
            </a:graphicData>
          </a:graphic>
          <wp14:sizeRelH relativeFrom="page">
            <wp14:pctWidth>0</wp14:pctWidth>
          </wp14:sizeRelH>
          <wp14:sizeRelV relativeFrom="page">
            <wp14:pctHeight>0</wp14:pctHeight>
          </wp14:sizeRelV>
        </wp:anchor>
      </w:drawing>
    </w:r>
    <w:r w:rsidRPr="004D757F">
      <w:rPr>
        <w:noProof/>
      </w:rPr>
      <w:drawing>
        <wp:anchor distT="0" distB="0" distL="114300" distR="114300" simplePos="0" relativeHeight="251659264" behindDoc="1" locked="0" layoutInCell="1" allowOverlap="1" wp14:anchorId="16E4F16B" wp14:editId="2B6FAF59">
          <wp:simplePos x="0" y="0"/>
          <wp:positionH relativeFrom="column">
            <wp:posOffset>-805142</wp:posOffset>
          </wp:positionH>
          <wp:positionV relativeFrom="topMargin">
            <wp:posOffset>90768</wp:posOffset>
          </wp:positionV>
          <wp:extent cx="1809750" cy="809625"/>
          <wp:effectExtent l="0" t="0" r="0" b="9525"/>
          <wp:wrapTight wrapText="bothSides">
            <wp:wrapPolygon edited="0">
              <wp:start x="0" y="0"/>
              <wp:lineTo x="0" y="21346"/>
              <wp:lineTo x="21373" y="21346"/>
              <wp:lineTo x="21373" y="0"/>
              <wp:lineTo x="0" y="0"/>
            </wp:wrapPolygon>
          </wp:wrapTight>
          <wp:docPr id="445676359"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339591" name="Picture 1" descr="A blue text on a white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09750" cy="8096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94296"/>
    <w:multiLevelType w:val="multilevel"/>
    <w:tmpl w:val="67827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8536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8"/>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57F"/>
    <w:rsid w:val="00017E1E"/>
    <w:rsid w:val="00123396"/>
    <w:rsid w:val="00130477"/>
    <w:rsid w:val="00173D92"/>
    <w:rsid w:val="001B4C9A"/>
    <w:rsid w:val="001C2C76"/>
    <w:rsid w:val="002A605C"/>
    <w:rsid w:val="004A4BA2"/>
    <w:rsid w:val="004D757F"/>
    <w:rsid w:val="005672C5"/>
    <w:rsid w:val="006C7A4D"/>
    <w:rsid w:val="007823C3"/>
    <w:rsid w:val="007C4CF2"/>
    <w:rsid w:val="00CC1FA2"/>
    <w:rsid w:val="00DB6110"/>
    <w:rsid w:val="00DE0DD8"/>
    <w:rsid w:val="00E2180B"/>
    <w:rsid w:val="00E46960"/>
    <w:rsid w:val="00ED3B7E"/>
    <w:rsid w:val="00FD27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FCE2C"/>
  <w15:chartTrackingRefBased/>
  <w15:docId w15:val="{F5A98426-73B6-4F18-8C51-AA139D402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75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75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75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75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75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75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75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75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75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75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75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75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75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75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75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75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75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757F"/>
    <w:rPr>
      <w:rFonts w:eastAsiaTheme="majorEastAsia" w:cstheme="majorBidi"/>
      <w:color w:val="272727" w:themeColor="text1" w:themeTint="D8"/>
    </w:rPr>
  </w:style>
  <w:style w:type="paragraph" w:styleId="Title">
    <w:name w:val="Title"/>
    <w:basedOn w:val="Normal"/>
    <w:next w:val="Normal"/>
    <w:link w:val="TitleChar"/>
    <w:uiPriority w:val="10"/>
    <w:qFormat/>
    <w:rsid w:val="004D75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75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75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75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757F"/>
    <w:pPr>
      <w:spacing w:before="160"/>
      <w:jc w:val="center"/>
    </w:pPr>
    <w:rPr>
      <w:i/>
      <w:iCs/>
      <w:color w:val="404040" w:themeColor="text1" w:themeTint="BF"/>
    </w:rPr>
  </w:style>
  <w:style w:type="character" w:customStyle="1" w:styleId="QuoteChar">
    <w:name w:val="Quote Char"/>
    <w:basedOn w:val="DefaultParagraphFont"/>
    <w:link w:val="Quote"/>
    <w:uiPriority w:val="29"/>
    <w:rsid w:val="004D757F"/>
    <w:rPr>
      <w:i/>
      <w:iCs/>
      <w:color w:val="404040" w:themeColor="text1" w:themeTint="BF"/>
    </w:rPr>
  </w:style>
  <w:style w:type="paragraph" w:styleId="ListParagraph">
    <w:name w:val="List Paragraph"/>
    <w:basedOn w:val="Normal"/>
    <w:uiPriority w:val="34"/>
    <w:qFormat/>
    <w:rsid w:val="004D757F"/>
    <w:pPr>
      <w:ind w:left="720"/>
      <w:contextualSpacing/>
    </w:pPr>
  </w:style>
  <w:style w:type="character" w:styleId="IntenseEmphasis">
    <w:name w:val="Intense Emphasis"/>
    <w:basedOn w:val="DefaultParagraphFont"/>
    <w:uiPriority w:val="21"/>
    <w:qFormat/>
    <w:rsid w:val="004D757F"/>
    <w:rPr>
      <w:i/>
      <w:iCs/>
      <w:color w:val="0F4761" w:themeColor="accent1" w:themeShade="BF"/>
    </w:rPr>
  </w:style>
  <w:style w:type="paragraph" w:styleId="IntenseQuote">
    <w:name w:val="Intense Quote"/>
    <w:basedOn w:val="Normal"/>
    <w:next w:val="Normal"/>
    <w:link w:val="IntenseQuoteChar"/>
    <w:uiPriority w:val="30"/>
    <w:qFormat/>
    <w:rsid w:val="004D75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757F"/>
    <w:rPr>
      <w:i/>
      <w:iCs/>
      <w:color w:val="0F4761" w:themeColor="accent1" w:themeShade="BF"/>
    </w:rPr>
  </w:style>
  <w:style w:type="character" w:styleId="IntenseReference">
    <w:name w:val="Intense Reference"/>
    <w:basedOn w:val="DefaultParagraphFont"/>
    <w:uiPriority w:val="32"/>
    <w:qFormat/>
    <w:rsid w:val="004D757F"/>
    <w:rPr>
      <w:b/>
      <w:bCs/>
      <w:smallCaps/>
      <w:color w:val="0F4761" w:themeColor="accent1" w:themeShade="BF"/>
      <w:spacing w:val="5"/>
    </w:rPr>
  </w:style>
  <w:style w:type="paragraph" w:styleId="Header">
    <w:name w:val="header"/>
    <w:basedOn w:val="Normal"/>
    <w:link w:val="HeaderChar"/>
    <w:uiPriority w:val="99"/>
    <w:unhideWhenUsed/>
    <w:rsid w:val="004D75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757F"/>
  </w:style>
  <w:style w:type="paragraph" w:styleId="Footer">
    <w:name w:val="footer"/>
    <w:basedOn w:val="Normal"/>
    <w:link w:val="FooterChar"/>
    <w:uiPriority w:val="99"/>
    <w:unhideWhenUsed/>
    <w:rsid w:val="004D75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757F"/>
  </w:style>
  <w:style w:type="character" w:styleId="Hyperlink">
    <w:name w:val="Hyperlink"/>
    <w:basedOn w:val="DefaultParagraphFont"/>
    <w:uiPriority w:val="99"/>
    <w:unhideWhenUsed/>
    <w:rsid w:val="007C4CF2"/>
    <w:rPr>
      <w:color w:val="467886" w:themeColor="hyperlink"/>
      <w:u w:val="single"/>
    </w:rPr>
  </w:style>
  <w:style w:type="character" w:styleId="UnresolvedMention">
    <w:name w:val="Unresolved Mention"/>
    <w:basedOn w:val="DefaultParagraphFont"/>
    <w:uiPriority w:val="99"/>
    <w:semiHidden/>
    <w:unhideWhenUsed/>
    <w:rsid w:val="007C4C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590162">
      <w:bodyDiv w:val="1"/>
      <w:marLeft w:val="0"/>
      <w:marRight w:val="0"/>
      <w:marTop w:val="0"/>
      <w:marBottom w:val="0"/>
      <w:divBdr>
        <w:top w:val="none" w:sz="0" w:space="0" w:color="auto"/>
        <w:left w:val="none" w:sz="0" w:space="0" w:color="auto"/>
        <w:bottom w:val="none" w:sz="0" w:space="0" w:color="auto"/>
        <w:right w:val="none" w:sz="0" w:space="0" w:color="auto"/>
      </w:divBdr>
      <w:divsChild>
        <w:div w:id="2122407753">
          <w:marLeft w:val="0"/>
          <w:marRight w:val="0"/>
          <w:marTop w:val="0"/>
          <w:marBottom w:val="0"/>
          <w:divBdr>
            <w:top w:val="none" w:sz="0" w:space="0" w:color="auto"/>
            <w:left w:val="none" w:sz="0" w:space="0" w:color="auto"/>
            <w:bottom w:val="none" w:sz="0" w:space="0" w:color="auto"/>
            <w:right w:val="none" w:sz="0" w:space="0" w:color="auto"/>
          </w:divBdr>
          <w:divsChild>
            <w:div w:id="26224549">
              <w:marLeft w:val="0"/>
              <w:marRight w:val="0"/>
              <w:marTop w:val="0"/>
              <w:marBottom w:val="120"/>
              <w:divBdr>
                <w:top w:val="none" w:sz="0" w:space="0" w:color="auto"/>
                <w:left w:val="none" w:sz="0" w:space="0" w:color="auto"/>
                <w:bottom w:val="none" w:sz="0" w:space="0" w:color="auto"/>
                <w:right w:val="none" w:sz="0" w:space="0" w:color="auto"/>
              </w:divBdr>
            </w:div>
          </w:divsChild>
        </w:div>
        <w:div w:id="100077142">
          <w:marLeft w:val="0"/>
          <w:marRight w:val="0"/>
          <w:marTop w:val="375"/>
          <w:marBottom w:val="375"/>
          <w:divBdr>
            <w:top w:val="none" w:sz="0" w:space="0" w:color="auto"/>
            <w:left w:val="single" w:sz="24" w:space="0" w:color="auto"/>
            <w:bottom w:val="none" w:sz="0" w:space="0" w:color="auto"/>
            <w:right w:val="none" w:sz="0" w:space="0" w:color="auto"/>
          </w:divBdr>
        </w:div>
        <w:div w:id="786781411">
          <w:marLeft w:val="0"/>
          <w:marRight w:val="0"/>
          <w:marTop w:val="0"/>
          <w:marBottom w:val="0"/>
          <w:divBdr>
            <w:top w:val="none" w:sz="0" w:space="0" w:color="auto"/>
            <w:left w:val="none" w:sz="0" w:space="0" w:color="auto"/>
            <w:bottom w:val="none" w:sz="0" w:space="0" w:color="auto"/>
            <w:right w:val="none" w:sz="0" w:space="0" w:color="auto"/>
          </w:divBdr>
          <w:divsChild>
            <w:div w:id="1613173212">
              <w:marLeft w:val="0"/>
              <w:marRight w:val="0"/>
              <w:marTop w:val="0"/>
              <w:marBottom w:val="120"/>
              <w:divBdr>
                <w:top w:val="none" w:sz="0" w:space="0" w:color="auto"/>
                <w:left w:val="none" w:sz="0" w:space="0" w:color="auto"/>
                <w:bottom w:val="none" w:sz="0" w:space="0" w:color="auto"/>
                <w:right w:val="none" w:sz="0" w:space="0" w:color="auto"/>
              </w:divBdr>
            </w:div>
          </w:divsChild>
        </w:div>
        <w:div w:id="117770400">
          <w:marLeft w:val="0"/>
          <w:marRight w:val="0"/>
          <w:marTop w:val="0"/>
          <w:marBottom w:val="0"/>
          <w:divBdr>
            <w:top w:val="none" w:sz="0" w:space="0" w:color="auto"/>
            <w:left w:val="none" w:sz="0" w:space="0" w:color="auto"/>
            <w:bottom w:val="none" w:sz="0" w:space="0" w:color="auto"/>
            <w:right w:val="none" w:sz="0" w:space="0" w:color="auto"/>
          </w:divBdr>
          <w:divsChild>
            <w:div w:id="55038641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ision@oem.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F52D3-DEEB-4966-9B72-9CCBB9D7A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Lever</dc:creator>
  <cp:keywords/>
  <dc:description/>
  <cp:lastModifiedBy>Samuel Lever</cp:lastModifiedBy>
  <cp:revision>2</cp:revision>
  <dcterms:created xsi:type="dcterms:W3CDTF">2024-10-10T11:49:00Z</dcterms:created>
  <dcterms:modified xsi:type="dcterms:W3CDTF">2024-10-10T11:49:00Z</dcterms:modified>
</cp:coreProperties>
</file>